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D37B8" w14:textId="5675B271" w:rsidR="00991A09" w:rsidRPr="00747868" w:rsidRDefault="00371935" w:rsidP="00F17838">
      <w:pPr>
        <w:pStyle w:val="Nagwek1"/>
        <w:numPr>
          <w:ilvl w:val="0"/>
          <w:numId w:val="0"/>
        </w:numPr>
        <w:ind w:left="432" w:hanging="432"/>
      </w:pPr>
      <w:r>
        <w:t xml:space="preserve">Województwo Opolskie </w:t>
      </w:r>
    </w:p>
    <w:p w14:paraId="20EF6EF4" w14:textId="77777777" w:rsidR="00991A09" w:rsidRPr="00371935" w:rsidRDefault="00991A09" w:rsidP="00371935">
      <w:pPr>
        <w:pStyle w:val="Nagwek2"/>
        <w:rPr>
          <w:b/>
          <w:bCs/>
          <w:color w:val="auto"/>
        </w:rPr>
      </w:pPr>
      <w:bookmarkStart w:id="0" w:name="_Toc91159584"/>
      <w:r w:rsidRPr="00371935">
        <w:rPr>
          <w:b/>
          <w:bCs/>
          <w:color w:val="auto"/>
        </w:rPr>
        <w:t>Wartość wskaźnika dla RPO Województwa Opolskiego</w:t>
      </w:r>
      <w:bookmarkEnd w:id="0"/>
    </w:p>
    <w:p w14:paraId="1AF68F8B" w14:textId="77777777" w:rsidR="00A62820" w:rsidRDefault="00A62820" w:rsidP="00A62820">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1C8049B4" w14:textId="10FA326F" w:rsidR="00991A09" w:rsidRDefault="00A62820" w:rsidP="00A62820">
      <w:r>
        <w:t xml:space="preserve">Analiza wykazała, że w ramach </w:t>
      </w:r>
      <w:r w:rsidR="00991A09" w:rsidRPr="00850C54">
        <w:rPr>
          <w:b/>
          <w:bCs/>
        </w:rPr>
        <w:t xml:space="preserve">RPO Województwa Opolskiego </w:t>
      </w:r>
      <w:r w:rsidRPr="00451619">
        <w:t xml:space="preserve">osiągnięto wartość wskaźnika na poziomie: </w:t>
      </w:r>
      <w:r>
        <w:t>100%</w:t>
      </w:r>
      <w:r w:rsidRPr="00451619">
        <w:t xml:space="preserve"> miejsc pracy, które istniały co najmniej 30 miesięcy</w:t>
      </w:r>
      <w:r>
        <w:rPr>
          <w:b/>
          <w:bCs/>
        </w:rPr>
        <w:t xml:space="preserve"> </w:t>
      </w:r>
      <w:r w:rsidRPr="00451619">
        <w:t>(wartość skumulowana wskaźnika)</w:t>
      </w:r>
      <w:r>
        <w:t>.</w:t>
      </w:r>
      <w:r w:rsidR="00991A09" w:rsidRPr="00850C54">
        <w:t xml:space="preserve"> IZ Województwa Opolskiego założyła docelową wartość wskaźnika na poziomie </w:t>
      </w:r>
      <w:r w:rsidR="00991A09" w:rsidRPr="00850C54">
        <w:rPr>
          <w:b/>
          <w:bCs/>
        </w:rPr>
        <w:t xml:space="preserve">60%. </w:t>
      </w:r>
      <w:r w:rsidR="00991A09" w:rsidRPr="00850C54">
        <w:t xml:space="preserve">Oznacza to, że utworzone miejsca pracy w przedsiębiorstwach społecznych charakteryzują się znacznie większą trwałością niż założono na etapie programowania. </w:t>
      </w:r>
    </w:p>
    <w:p w14:paraId="3B17D237" w14:textId="0E02363D" w:rsidR="000150EF" w:rsidRDefault="000150EF">
      <w:pPr>
        <w:spacing w:line="259" w:lineRule="auto"/>
      </w:pPr>
      <w:bookmarkStart w:id="1" w:name="_Hlk93926895"/>
      <w:bookmarkStart w:id="2" w:name="_Toc91157967"/>
    </w:p>
    <w:tbl>
      <w:tblPr>
        <w:tblStyle w:val="Tabela-Siatka"/>
        <w:tblW w:w="0" w:type="auto"/>
        <w:tblLook w:val="04A0" w:firstRow="1" w:lastRow="0" w:firstColumn="1" w:lastColumn="0" w:noHBand="0" w:noVBand="1"/>
      </w:tblPr>
      <w:tblGrid>
        <w:gridCol w:w="4576"/>
        <w:gridCol w:w="4274"/>
      </w:tblGrid>
      <w:tr w:rsidR="00991A09" w14:paraId="5DF4D366" w14:textId="77777777" w:rsidTr="001D69EE">
        <w:trPr>
          <w:trHeight w:val="470"/>
        </w:trPr>
        <w:tc>
          <w:tcPr>
            <w:tcW w:w="4576" w:type="dxa"/>
            <w:vAlign w:val="center"/>
          </w:tcPr>
          <w:bookmarkEnd w:id="1"/>
          <w:bookmarkEnd w:id="2"/>
          <w:p w14:paraId="0ED0F85E" w14:textId="77777777" w:rsidR="00991A09" w:rsidRPr="00FC6E69" w:rsidRDefault="00991A09" w:rsidP="001D69EE">
            <w:pPr>
              <w:jc w:val="center"/>
              <w:rPr>
                <w:b/>
                <w:bCs/>
              </w:rPr>
            </w:pPr>
            <w:r w:rsidRPr="00FC6E69">
              <w:rPr>
                <w:b/>
                <w:bCs/>
              </w:rPr>
              <w:t>Województwo</w:t>
            </w:r>
          </w:p>
        </w:tc>
        <w:tc>
          <w:tcPr>
            <w:tcW w:w="4274" w:type="dxa"/>
            <w:vAlign w:val="center"/>
          </w:tcPr>
          <w:p w14:paraId="01D4DB7C" w14:textId="77777777" w:rsidR="00991A09" w:rsidRPr="00FC6E69" w:rsidRDefault="00991A09" w:rsidP="001D69EE">
            <w:pPr>
              <w:jc w:val="center"/>
              <w:rPr>
                <w:b/>
                <w:bCs/>
              </w:rPr>
            </w:pPr>
            <w:r>
              <w:rPr>
                <w:b/>
                <w:bCs/>
              </w:rPr>
              <w:t>opolskie</w:t>
            </w:r>
          </w:p>
        </w:tc>
      </w:tr>
      <w:tr w:rsidR="00991A09" w14:paraId="2DD55E5D" w14:textId="77777777" w:rsidTr="001D69EE">
        <w:trPr>
          <w:trHeight w:val="470"/>
        </w:trPr>
        <w:tc>
          <w:tcPr>
            <w:tcW w:w="4576" w:type="dxa"/>
            <w:vAlign w:val="center"/>
          </w:tcPr>
          <w:p w14:paraId="145EE878" w14:textId="77777777" w:rsidR="00991A09" w:rsidRPr="00FC6E69" w:rsidRDefault="00991A09" w:rsidP="001D69EE">
            <w:pPr>
              <w:jc w:val="center"/>
              <w:rPr>
                <w:b/>
                <w:bCs/>
              </w:rPr>
            </w:pPr>
            <w:r>
              <w:t xml:space="preserve">Docelowa wartość wskaźnika – liczba miejsc pracy utworzonych w przedsiębiorstwach społecznych  </w:t>
            </w:r>
          </w:p>
        </w:tc>
        <w:tc>
          <w:tcPr>
            <w:tcW w:w="4274" w:type="dxa"/>
            <w:vAlign w:val="center"/>
          </w:tcPr>
          <w:p w14:paraId="18090A1B" w14:textId="77777777" w:rsidR="00991A09" w:rsidRDefault="00991A09" w:rsidP="001D69EE">
            <w:pPr>
              <w:jc w:val="center"/>
              <w:rPr>
                <w:b/>
                <w:bCs/>
              </w:rPr>
            </w:pPr>
            <w:r>
              <w:rPr>
                <w:b/>
                <w:bCs/>
              </w:rPr>
              <w:t>225</w:t>
            </w:r>
            <w:r>
              <w:rPr>
                <w:rStyle w:val="Odwoanieprzypisudolnego"/>
                <w:b/>
                <w:bCs/>
              </w:rPr>
              <w:footnoteReference w:id="1"/>
            </w:r>
            <w:r>
              <w:rPr>
                <w:b/>
                <w:bCs/>
              </w:rPr>
              <w:t xml:space="preserve"> </w:t>
            </w:r>
          </w:p>
        </w:tc>
      </w:tr>
      <w:tr w:rsidR="00991A09" w14:paraId="08D20AA6" w14:textId="77777777" w:rsidTr="001D69EE">
        <w:trPr>
          <w:trHeight w:val="666"/>
        </w:trPr>
        <w:tc>
          <w:tcPr>
            <w:tcW w:w="4576" w:type="dxa"/>
            <w:vAlign w:val="center"/>
          </w:tcPr>
          <w:p w14:paraId="6D91E43C" w14:textId="77777777" w:rsidR="00991A09" w:rsidRDefault="00991A09" w:rsidP="001D69EE">
            <w:pPr>
              <w:jc w:val="center"/>
            </w:pPr>
            <w:r>
              <w:t>Docelowa wartość wskaźnika</w:t>
            </w:r>
            <w:r w:rsidRPr="006E06B0">
              <w:rPr>
                <w:i/>
                <w:iCs/>
              </w:rPr>
              <w:t xml:space="preserve"> Liczba miejsc pracy istniejących co najmniej 30 miesięcy, utworzonych w przedsiębiorstwach społecznych</w:t>
            </w:r>
            <w:r>
              <w:t xml:space="preserve"> – wymiar liczbowy</w:t>
            </w:r>
          </w:p>
        </w:tc>
        <w:tc>
          <w:tcPr>
            <w:tcW w:w="4274" w:type="dxa"/>
            <w:vAlign w:val="center"/>
          </w:tcPr>
          <w:p w14:paraId="10EDB275" w14:textId="77777777" w:rsidR="00991A09" w:rsidRDefault="00991A09" w:rsidP="001D69EE">
            <w:pPr>
              <w:jc w:val="center"/>
            </w:pPr>
            <w:r>
              <w:t>79</w:t>
            </w:r>
          </w:p>
          <w:p w14:paraId="09E3F246" w14:textId="77777777" w:rsidR="00991A09" w:rsidRDefault="00991A09" w:rsidP="001D69EE">
            <w:pPr>
              <w:jc w:val="center"/>
            </w:pPr>
            <w:r>
              <w:t>(wartość wyliczona na podstawie wartości wyrażonej w %)</w:t>
            </w:r>
          </w:p>
        </w:tc>
      </w:tr>
      <w:tr w:rsidR="00991A09" w14:paraId="68D50621" w14:textId="77777777" w:rsidTr="001D69EE">
        <w:trPr>
          <w:trHeight w:val="797"/>
        </w:trPr>
        <w:tc>
          <w:tcPr>
            <w:tcW w:w="4576" w:type="dxa"/>
            <w:vAlign w:val="center"/>
          </w:tcPr>
          <w:p w14:paraId="7CEF4403" w14:textId="77777777" w:rsidR="00991A09" w:rsidRDefault="00991A09"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274" w:type="dxa"/>
            <w:vAlign w:val="center"/>
          </w:tcPr>
          <w:p w14:paraId="021132C3" w14:textId="77777777" w:rsidR="00991A09" w:rsidRDefault="00991A09" w:rsidP="001D69EE">
            <w:pPr>
              <w:jc w:val="center"/>
            </w:pPr>
            <w:r>
              <w:t>60%</w:t>
            </w:r>
          </w:p>
        </w:tc>
      </w:tr>
      <w:tr w:rsidR="00991A09" w14:paraId="4797BFAE" w14:textId="77777777" w:rsidTr="00A10EDF">
        <w:trPr>
          <w:trHeight w:val="675"/>
        </w:trPr>
        <w:tc>
          <w:tcPr>
            <w:tcW w:w="4576" w:type="dxa"/>
            <w:shd w:val="clear" w:color="auto" w:fill="auto"/>
            <w:vAlign w:val="center"/>
          </w:tcPr>
          <w:p w14:paraId="4F590F09" w14:textId="77777777" w:rsidR="00991A09" w:rsidRDefault="00991A09" w:rsidP="001D69EE">
            <w:pPr>
              <w:jc w:val="center"/>
            </w:pPr>
            <w:r>
              <w:t>Liczba miejsc pracy objętych analizą (miejsca pracy powstałe między 1.07.2015 – 31.12.2018)</w:t>
            </w:r>
          </w:p>
        </w:tc>
        <w:tc>
          <w:tcPr>
            <w:tcW w:w="4274" w:type="dxa"/>
            <w:shd w:val="clear" w:color="auto" w:fill="auto"/>
            <w:vAlign w:val="center"/>
          </w:tcPr>
          <w:p w14:paraId="26A29E18" w14:textId="77777777" w:rsidR="00991A09" w:rsidRDefault="00991A09" w:rsidP="001D69EE">
            <w:pPr>
              <w:jc w:val="center"/>
            </w:pPr>
            <w:r>
              <w:t>32</w:t>
            </w:r>
          </w:p>
        </w:tc>
      </w:tr>
      <w:tr w:rsidR="00991A09" w14:paraId="48392B13" w14:textId="77777777" w:rsidTr="00A10EDF">
        <w:trPr>
          <w:trHeight w:val="933"/>
        </w:trPr>
        <w:tc>
          <w:tcPr>
            <w:tcW w:w="4576" w:type="dxa"/>
            <w:shd w:val="clear" w:color="auto" w:fill="auto"/>
            <w:vAlign w:val="center"/>
          </w:tcPr>
          <w:p w14:paraId="23A1628F" w14:textId="77777777" w:rsidR="00991A09" w:rsidRDefault="00991A09" w:rsidP="001D69EE">
            <w:pPr>
              <w:jc w:val="center"/>
            </w:pPr>
            <w:r>
              <w:t>Liczba miejsc pracy objętych analizą istniejących co najmniej 30 miesięcy</w:t>
            </w:r>
          </w:p>
        </w:tc>
        <w:tc>
          <w:tcPr>
            <w:tcW w:w="4274" w:type="dxa"/>
            <w:shd w:val="clear" w:color="auto" w:fill="auto"/>
            <w:vAlign w:val="center"/>
          </w:tcPr>
          <w:p w14:paraId="014ED475" w14:textId="77777777" w:rsidR="00991A09" w:rsidRDefault="00991A09" w:rsidP="001D69EE">
            <w:pPr>
              <w:jc w:val="center"/>
            </w:pPr>
            <w:r>
              <w:t>32</w:t>
            </w:r>
          </w:p>
        </w:tc>
      </w:tr>
      <w:tr w:rsidR="00991A09" w14:paraId="62B4F724" w14:textId="77777777" w:rsidTr="00A10EDF">
        <w:trPr>
          <w:trHeight w:val="933"/>
        </w:trPr>
        <w:tc>
          <w:tcPr>
            <w:tcW w:w="4576" w:type="dxa"/>
            <w:shd w:val="clear" w:color="auto" w:fill="auto"/>
            <w:vAlign w:val="center"/>
          </w:tcPr>
          <w:p w14:paraId="543655F0" w14:textId="77777777" w:rsidR="00991A09" w:rsidRDefault="00991A09" w:rsidP="001D69EE">
            <w:pPr>
              <w:jc w:val="center"/>
            </w:pPr>
            <w:r>
              <w:lastRenderedPageBreak/>
              <w:t>Odsetek miejsc pracy objętych analizą istniejących co najmniej 30 miesięcy</w:t>
            </w:r>
          </w:p>
        </w:tc>
        <w:tc>
          <w:tcPr>
            <w:tcW w:w="4274" w:type="dxa"/>
            <w:shd w:val="clear" w:color="auto" w:fill="auto"/>
            <w:vAlign w:val="center"/>
          </w:tcPr>
          <w:p w14:paraId="438BBBEB" w14:textId="368E40F1" w:rsidR="00991A09" w:rsidRDefault="00991A09" w:rsidP="001D69EE">
            <w:pPr>
              <w:jc w:val="center"/>
            </w:pPr>
            <w:r>
              <w:t>100</w:t>
            </w:r>
            <w:r w:rsidR="00E96CEB">
              <w:t>,0</w:t>
            </w:r>
            <w:r>
              <w:t>%</w:t>
            </w:r>
          </w:p>
        </w:tc>
      </w:tr>
      <w:tr w:rsidR="00A62820" w14:paraId="1F5D63E8" w14:textId="77777777" w:rsidTr="00A10EDF">
        <w:trPr>
          <w:trHeight w:val="933"/>
        </w:trPr>
        <w:tc>
          <w:tcPr>
            <w:tcW w:w="4576" w:type="dxa"/>
            <w:shd w:val="clear" w:color="auto" w:fill="auto"/>
            <w:vAlign w:val="center"/>
          </w:tcPr>
          <w:p w14:paraId="5DAB0A85" w14:textId="6B08B435" w:rsidR="00A62820" w:rsidRDefault="00A62820" w:rsidP="00A62820">
            <w:pPr>
              <w:jc w:val="center"/>
            </w:pPr>
            <w:r>
              <w:t>II Pomiar – Liczba miejsc pracy objętych analizą w ramach II pomiaru (miejsca pracy powstałe między 1.01.2019 – 31.12.2020)</w:t>
            </w:r>
          </w:p>
        </w:tc>
        <w:tc>
          <w:tcPr>
            <w:tcW w:w="4274" w:type="dxa"/>
            <w:shd w:val="clear" w:color="auto" w:fill="auto"/>
            <w:vAlign w:val="center"/>
          </w:tcPr>
          <w:p w14:paraId="05BF84FC" w14:textId="05A4FF8D" w:rsidR="00A62820" w:rsidRDefault="00A62820" w:rsidP="00A62820">
            <w:pPr>
              <w:jc w:val="center"/>
            </w:pPr>
            <w:r>
              <w:t>11</w:t>
            </w:r>
          </w:p>
        </w:tc>
      </w:tr>
      <w:tr w:rsidR="00A62820" w14:paraId="65B7C10D" w14:textId="77777777" w:rsidTr="00A10EDF">
        <w:trPr>
          <w:trHeight w:val="933"/>
        </w:trPr>
        <w:tc>
          <w:tcPr>
            <w:tcW w:w="4576" w:type="dxa"/>
            <w:shd w:val="clear" w:color="auto" w:fill="auto"/>
            <w:vAlign w:val="center"/>
          </w:tcPr>
          <w:p w14:paraId="0A0E138B" w14:textId="4B6532DC" w:rsidR="00A62820" w:rsidRDefault="00A62820" w:rsidP="00A62820">
            <w:pPr>
              <w:jc w:val="center"/>
            </w:pPr>
            <w:r>
              <w:t>II Pomiar – Liczba miejsc pracy objętych analizą istniejących co najmniej 30 miesięcy</w:t>
            </w:r>
          </w:p>
        </w:tc>
        <w:tc>
          <w:tcPr>
            <w:tcW w:w="4274" w:type="dxa"/>
            <w:shd w:val="clear" w:color="auto" w:fill="auto"/>
            <w:vAlign w:val="center"/>
          </w:tcPr>
          <w:p w14:paraId="591069CD" w14:textId="7C9355DE" w:rsidR="00A62820" w:rsidRDefault="00A62820" w:rsidP="00A62820">
            <w:pPr>
              <w:jc w:val="center"/>
            </w:pPr>
            <w:r>
              <w:t>11</w:t>
            </w:r>
          </w:p>
        </w:tc>
      </w:tr>
      <w:tr w:rsidR="00A62820" w14:paraId="1D3AD982" w14:textId="77777777" w:rsidTr="00A10EDF">
        <w:trPr>
          <w:trHeight w:val="933"/>
        </w:trPr>
        <w:tc>
          <w:tcPr>
            <w:tcW w:w="4576" w:type="dxa"/>
            <w:shd w:val="clear" w:color="auto" w:fill="auto"/>
            <w:vAlign w:val="center"/>
          </w:tcPr>
          <w:p w14:paraId="59D83D72" w14:textId="00470197" w:rsidR="00A62820" w:rsidRDefault="00A62820" w:rsidP="00A62820">
            <w:pPr>
              <w:jc w:val="center"/>
            </w:pPr>
            <w:r>
              <w:t>II Pomiar – Odsetek miejsc pracy objętych analizą istniejących co najmniej 30 miesięcy</w:t>
            </w:r>
          </w:p>
        </w:tc>
        <w:tc>
          <w:tcPr>
            <w:tcW w:w="4274" w:type="dxa"/>
            <w:shd w:val="clear" w:color="auto" w:fill="auto"/>
            <w:vAlign w:val="center"/>
          </w:tcPr>
          <w:p w14:paraId="57BA32C7" w14:textId="5A0739F1" w:rsidR="00A62820" w:rsidRDefault="00A62820" w:rsidP="00A62820">
            <w:pPr>
              <w:jc w:val="center"/>
            </w:pPr>
            <w:r>
              <w:t>100</w:t>
            </w:r>
            <w:r w:rsidR="00E96CEB">
              <w:t>,0</w:t>
            </w:r>
            <w:r>
              <w:t>%</w:t>
            </w:r>
          </w:p>
        </w:tc>
      </w:tr>
      <w:tr w:rsidR="00A62820" w14:paraId="14712025" w14:textId="77777777" w:rsidTr="001D69EE">
        <w:trPr>
          <w:trHeight w:val="203"/>
        </w:trPr>
        <w:tc>
          <w:tcPr>
            <w:tcW w:w="4576" w:type="dxa"/>
            <w:vAlign w:val="center"/>
          </w:tcPr>
          <w:p w14:paraId="4D732F51" w14:textId="2A9688E8" w:rsidR="00A62820" w:rsidRDefault="00A62820" w:rsidP="00A62820">
            <w:pPr>
              <w:jc w:val="center"/>
            </w:pPr>
            <w:r>
              <w:t xml:space="preserve">Skumulowana wartość wskaźnika </w:t>
            </w:r>
            <w:r w:rsidRPr="006E06B0">
              <w:rPr>
                <w:i/>
                <w:iCs/>
              </w:rPr>
              <w:t>Liczba miejsc pracy istniejących co najmniej 30 miesięcy, utworzonych w przedsiębiorstwach społecznych</w:t>
            </w:r>
          </w:p>
        </w:tc>
        <w:tc>
          <w:tcPr>
            <w:tcW w:w="4274" w:type="dxa"/>
            <w:vAlign w:val="center"/>
          </w:tcPr>
          <w:p w14:paraId="56EB1AD4" w14:textId="4CA965FE" w:rsidR="00A62820" w:rsidRDefault="00D340A7" w:rsidP="00A62820">
            <w:pPr>
              <w:jc w:val="center"/>
            </w:pPr>
            <w:r>
              <w:t>43 (</w:t>
            </w:r>
            <w:r w:rsidR="00A62820">
              <w:t>100</w:t>
            </w:r>
            <w:r w:rsidR="00E96CEB">
              <w:t>,0</w:t>
            </w:r>
            <w:r w:rsidR="00A62820">
              <w:t>%</w:t>
            </w:r>
            <w:r>
              <w:t>)</w:t>
            </w:r>
          </w:p>
        </w:tc>
      </w:tr>
      <w:tr w:rsidR="00A62820" w14:paraId="09C61BFD" w14:textId="77777777" w:rsidTr="001D69EE">
        <w:trPr>
          <w:trHeight w:val="203"/>
        </w:trPr>
        <w:tc>
          <w:tcPr>
            <w:tcW w:w="4576" w:type="dxa"/>
            <w:vAlign w:val="center"/>
          </w:tcPr>
          <w:p w14:paraId="5955F402" w14:textId="07F0CB6E" w:rsidR="00A62820" w:rsidRDefault="00A62820" w:rsidP="00A62820">
            <w:pPr>
              <w:jc w:val="center"/>
            </w:pPr>
            <w:r>
              <w:t xml:space="preserve">Ocena uzyskanej wartości wskaźnika </w:t>
            </w:r>
          </w:p>
        </w:tc>
        <w:tc>
          <w:tcPr>
            <w:tcW w:w="4274" w:type="dxa"/>
            <w:vAlign w:val="center"/>
          </w:tcPr>
          <w:p w14:paraId="517ED534" w14:textId="429FB957" w:rsidR="00A62820" w:rsidRDefault="00A62820" w:rsidP="00A62820">
            <w:pPr>
              <w:jc w:val="center"/>
            </w:pPr>
            <w:r>
              <w:t xml:space="preserve">Osiągnięto wartość wskaźnika powyżej zakładanej wartości. </w:t>
            </w:r>
          </w:p>
        </w:tc>
      </w:tr>
    </w:tbl>
    <w:p w14:paraId="52EAD8D9" w14:textId="7B018497" w:rsidR="00991A09" w:rsidRDefault="00991A09" w:rsidP="00991A09">
      <w:pPr>
        <w:pStyle w:val="Legenda"/>
      </w:pPr>
      <w:r>
        <w:t xml:space="preserve">Opracowanie własne na podstawie badania CATI/CAWI wśród przedsiębiorstw społecznych przeprowadzonego w ramach I </w:t>
      </w:r>
      <w:r w:rsidR="00A62820">
        <w:t xml:space="preserve">i II </w:t>
      </w:r>
      <w:r>
        <w:t xml:space="preserve">pomiaru. </w:t>
      </w:r>
    </w:p>
    <w:p w14:paraId="5ADE913E" w14:textId="747B3582" w:rsidR="00991A09" w:rsidRPr="0075151C" w:rsidRDefault="00991A09" w:rsidP="00991A09">
      <w:r>
        <w:t xml:space="preserve">Ze względu na obliczoną na podstawie wyników badania wartość wskaźnika skuteczność działań podejmowanych przez OWES-y na terenie województwa opolskiego nie różnią się. </w:t>
      </w:r>
      <w:r w:rsidR="00F37796">
        <w:t xml:space="preserve">Drugi pomiar objął tylko jeden subregion, a ten osiągnął najwyższą możliwą wartość wskaźnika. </w:t>
      </w:r>
    </w:p>
    <w:p w14:paraId="70CD23B5" w14:textId="77777777" w:rsidR="00A62820" w:rsidRDefault="00991A09" w:rsidP="00991A09">
      <w:pPr>
        <w:pStyle w:val="Legenda"/>
      </w:pPr>
      <w:r>
        <w:rPr>
          <w:noProof/>
          <w:lang w:eastAsia="pl-PL"/>
        </w:rPr>
        <w:drawing>
          <wp:inline distT="0" distB="0" distL="0" distR="0" wp14:anchorId="3C67F0AF" wp14:editId="10B914AF">
            <wp:extent cx="5664200" cy="2609850"/>
            <wp:effectExtent l="0" t="0" r="0" b="0"/>
            <wp:docPr id="58" name="Wykres 58" descr="Wykres przedstawiający Wartość wskaźnika Liczba miejsc pracy istniejących co najmniej 30 miesięcy, utworzonych w przedsiębiorstwach społecznych w podziale na OWES – opolskie:&#10;Byczyński Ośrodek Wsparcia Ekonomii Społecznej dla subregionu północnego 100%&#10;Subregion Południowy 100%">
              <a:extLst xmlns:a="http://schemas.openxmlformats.org/drawingml/2006/main">
                <a:ext uri="{FF2B5EF4-FFF2-40B4-BE49-F238E27FC236}">
                  <a16:creationId xmlns:a16="http://schemas.microsoft.com/office/drawing/2014/main" id="{E03A1B2D-8539-48DF-9433-8C20A72B58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p>
    <w:p w14:paraId="52FB9135" w14:textId="77777777" w:rsidR="00A62820" w:rsidRDefault="00A62820" w:rsidP="00A62820">
      <w:pPr>
        <w:pStyle w:val="Legenda"/>
      </w:pPr>
      <w:r>
        <w:t>Opracowanie własne na podstawie badania CATI/CAWI wśród przedsiębiorstw społecznych przeprowadzonego w ramach I pomiaru. N=8</w:t>
      </w:r>
    </w:p>
    <w:p w14:paraId="105CC6E2" w14:textId="77777777" w:rsidR="00A62820" w:rsidRDefault="00A62820" w:rsidP="00F37796">
      <w:pPr>
        <w:pStyle w:val="Legenda"/>
        <w:ind w:left="708"/>
      </w:pPr>
      <w:r>
        <w:rPr>
          <w:noProof/>
          <w:lang w:eastAsia="pl-PL"/>
        </w:rPr>
        <w:lastRenderedPageBreak/>
        <w:drawing>
          <wp:inline distT="0" distB="0" distL="0" distR="0" wp14:anchorId="64EA4CB6" wp14:editId="7650BE3C">
            <wp:extent cx="4591050" cy="2593522"/>
            <wp:effectExtent l="0" t="0" r="0" b="0"/>
            <wp:docPr id="2" name="Wykres 2"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2B672148-3CEE-49DE-BEB6-924080215A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3C0B4AB" w14:textId="7923D1F6" w:rsidR="00991A09" w:rsidRDefault="00991A09" w:rsidP="00991A09">
      <w:pPr>
        <w:pStyle w:val="Legenda"/>
      </w:pPr>
      <w:r>
        <w:t xml:space="preserve">Opracowanie własne na podstawie badania CATI/CAWI wśród przedsiębiorstw społecznych przeprowadzonego w ramach </w:t>
      </w:r>
      <w:r w:rsidR="00A62820">
        <w:t>I</w:t>
      </w:r>
      <w:r>
        <w:t xml:space="preserve">I pomiaru. </w:t>
      </w:r>
      <w:r w:rsidR="00C86F8D">
        <w:t>N=</w:t>
      </w:r>
      <w:r w:rsidR="00A62820">
        <w:t>3</w:t>
      </w:r>
    </w:p>
    <w:p w14:paraId="6027E6C8" w14:textId="77777777" w:rsidR="00B018C1" w:rsidRPr="00371935" w:rsidRDefault="00B018C1" w:rsidP="00B018C1">
      <w:pPr>
        <w:pStyle w:val="Nagwek2"/>
        <w:rPr>
          <w:b/>
          <w:bCs/>
          <w:color w:val="auto"/>
        </w:rPr>
      </w:pPr>
      <w:r w:rsidRPr="00371935">
        <w:rPr>
          <w:b/>
          <w:bCs/>
          <w:color w:val="auto"/>
        </w:rPr>
        <w:t xml:space="preserve">Charakterystyka wsparcia </w:t>
      </w:r>
    </w:p>
    <w:p w14:paraId="75CD7FAA" w14:textId="6AF6E37B" w:rsidR="00B018C1" w:rsidRDefault="00B018C1" w:rsidP="00B018C1">
      <w:r w:rsidRPr="00C24489">
        <w:t xml:space="preserve">W województwie </w:t>
      </w:r>
      <w:r w:rsidR="00C86F8D">
        <w:t>opolskim</w:t>
      </w:r>
      <w:r w:rsidRPr="00C24489">
        <w:t xml:space="preserve"> wspierane przedsiębiorstwa społeczne działają </w:t>
      </w:r>
      <w:r w:rsidR="00F37796">
        <w:t>w branżach:</w:t>
      </w:r>
      <w:r w:rsidRPr="00C24489">
        <w:t xml:space="preserve"> </w:t>
      </w:r>
      <w:r w:rsidR="00F37796">
        <w:t>gastronomia, budownictwo, kultura i edukacja, dom i ogród, rolnictwo, leśnictw, łowiectwo, rybactwo</w:t>
      </w:r>
      <w:r w:rsidRPr="00C24489">
        <w:t xml:space="preserve">. </w:t>
      </w:r>
    </w:p>
    <w:p w14:paraId="178865D3" w14:textId="4C5318C9" w:rsidR="00C24489" w:rsidRPr="00E71F3E" w:rsidRDefault="00A62820" w:rsidP="00B018C1">
      <w:r w:rsidRPr="00A62820">
        <w:rPr>
          <w:noProof/>
          <w:lang w:eastAsia="pl-PL"/>
        </w:rPr>
        <w:t xml:space="preserve"> </w:t>
      </w:r>
      <w:r>
        <w:rPr>
          <w:noProof/>
          <w:lang w:eastAsia="pl-PL"/>
        </w:rPr>
        <w:drawing>
          <wp:inline distT="0" distB="0" distL="0" distR="0" wp14:anchorId="3D9A7F04" wp14:editId="1FCB2BFA">
            <wp:extent cx="5760720" cy="3212465"/>
            <wp:effectExtent l="0" t="0" r="0" b="6985"/>
            <wp:docPr id="6" name="Wykres 6" descr="Wykres prezentujący obszary działalności przedsiębiorstw społecznych.">
              <a:extLst xmlns:a="http://schemas.openxmlformats.org/drawingml/2006/main">
                <a:ext uri="{FF2B5EF4-FFF2-40B4-BE49-F238E27FC236}">
                  <a16:creationId xmlns:a16="http://schemas.microsoft.com/office/drawing/2014/main" id="{6FAD38F7-A446-45B7-A662-6F47C23E40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7151994" w14:textId="77777777" w:rsidR="00A62820" w:rsidRDefault="00B018C1" w:rsidP="00A62820">
      <w:pPr>
        <w:pStyle w:val="Legenda"/>
      </w:pPr>
      <w:r w:rsidRPr="00887578">
        <w:t xml:space="preserve"> </w:t>
      </w:r>
      <w:r w:rsidR="00A62820">
        <w:t>Opracowanie własne na podstawie badania CATI/CAWI wśród przedsiębiorstw społecznych przeprowadzonego w ramach II pomiaru. N=3</w:t>
      </w:r>
    </w:p>
    <w:p w14:paraId="67A78402" w14:textId="6F82FEDB" w:rsidR="00B018C1" w:rsidRDefault="00B018C1" w:rsidP="00B018C1">
      <w:pPr>
        <w:pStyle w:val="Legenda"/>
      </w:pPr>
    </w:p>
    <w:p w14:paraId="20802642" w14:textId="01969672" w:rsidR="00B018C1" w:rsidRDefault="00B018C1" w:rsidP="00B018C1">
      <w:r>
        <w:lastRenderedPageBreak/>
        <w:t>Charakt</w:t>
      </w:r>
      <w:r w:rsidR="00F37796">
        <w:t xml:space="preserve">erystyka osób – w badanej próbie </w:t>
      </w:r>
      <w:r w:rsidR="00322D6E">
        <w:t xml:space="preserve">znaleźli </w:t>
      </w:r>
      <w:r w:rsidR="00F37796">
        <w:t xml:space="preserve">się tylko </w:t>
      </w:r>
      <w:r w:rsidR="00322D6E">
        <w:t>mężczyźni</w:t>
      </w:r>
      <w:r w:rsidR="00F37796">
        <w:t xml:space="preserve">. </w:t>
      </w:r>
      <w:r>
        <w:t>Ponadto, analizując strukturę wieku osób zatrudnianych zauważyć można, że najwięcej osó</w:t>
      </w:r>
      <w:r w:rsidR="007C219A">
        <w:t>b z</w:t>
      </w:r>
      <w:r w:rsidR="009A569A">
        <w:t>atrudniono w wieku 3</w:t>
      </w:r>
      <w:r w:rsidR="00F37796">
        <w:t>6</w:t>
      </w:r>
      <w:r w:rsidR="009A569A">
        <w:t>-45 lat (</w:t>
      </w:r>
      <w:r w:rsidR="00F37796">
        <w:t>55</w:t>
      </w:r>
      <w:r w:rsidR="007C219A">
        <w:t xml:space="preserve">%). </w:t>
      </w:r>
      <w:r>
        <w:t xml:space="preserve">Warto zauważyć także </w:t>
      </w:r>
      <w:r w:rsidR="009A569A">
        <w:t xml:space="preserve">brak zatrudnienia </w:t>
      </w:r>
      <w:r>
        <w:t>osó</w:t>
      </w:r>
      <w:r w:rsidR="00F37796">
        <w:t>b młodych do 3</w:t>
      </w:r>
      <w:r w:rsidR="001D49AA">
        <w:t xml:space="preserve">5 roku, natomiast wysoki odsetek osób po 56 roku życia. </w:t>
      </w:r>
      <w:r>
        <w:t xml:space="preserve">Osoby zatrudniane </w:t>
      </w:r>
      <w:r w:rsidR="009A569A">
        <w:t xml:space="preserve">na tworzonych miejscach pracy </w:t>
      </w:r>
      <w:r w:rsidR="001D49AA">
        <w:t>nie</w:t>
      </w:r>
      <w:r>
        <w:t xml:space="preserve"> były osobami pracującymi. Wsparcie pozwoliło na utworzenie miejsc pracy przede wszystkim dla osób bezrobotnych. </w:t>
      </w:r>
      <w:r w:rsidR="001D49AA">
        <w:t>N</w:t>
      </w:r>
      <w:r>
        <w:t xml:space="preserve">a miejscach pracy powstałych w wyniku wsparcia przedsiębiorstw społecznych, objętych niniejszym badaniem, </w:t>
      </w:r>
      <w:r w:rsidR="001D49AA">
        <w:t xml:space="preserve">nie </w:t>
      </w:r>
      <w:r>
        <w:t xml:space="preserve">zatrudniono </w:t>
      </w:r>
      <w:r w:rsidR="001D49AA">
        <w:t>osób</w:t>
      </w:r>
      <w:r>
        <w:t xml:space="preserve"> posiadając</w:t>
      </w:r>
      <w:r w:rsidR="001D49AA">
        <w:t>ych</w:t>
      </w:r>
      <w:r>
        <w:t xml:space="preserve"> orzeczenie o niepełnosprawności. Ponadto, w strukturze osób zatrudnionych na utworzonych miejscach pracy dominują osoby z wykształceniem </w:t>
      </w:r>
      <w:r w:rsidR="009A569A">
        <w:t>zawodowym (</w:t>
      </w:r>
      <w:r w:rsidR="001D49AA">
        <w:t>45</w:t>
      </w:r>
      <w:r>
        <w:t>%)</w:t>
      </w:r>
      <w:r w:rsidR="009A569A" w:rsidRPr="009A569A">
        <w:t xml:space="preserve"> </w:t>
      </w:r>
      <w:r w:rsidR="009A569A">
        <w:t>i średnim ogólnokształcącym (</w:t>
      </w:r>
      <w:r w:rsidR="001D49AA">
        <w:t>36</w:t>
      </w:r>
      <w:r w:rsidR="009A569A">
        <w:t>%)</w:t>
      </w:r>
      <w:r>
        <w:t xml:space="preserve">. </w:t>
      </w:r>
    </w:p>
    <w:p w14:paraId="3D0479E4" w14:textId="01673F9F" w:rsidR="00B018C1" w:rsidRDefault="00A62820" w:rsidP="00B018C1">
      <w:pPr>
        <w:rPr>
          <w:noProof/>
          <w:lang w:eastAsia="pl-PL"/>
        </w:rPr>
      </w:pPr>
      <w:r>
        <w:rPr>
          <w:noProof/>
          <w:lang w:eastAsia="pl-PL"/>
        </w:rPr>
        <w:drawing>
          <wp:inline distT="0" distB="0" distL="0" distR="0" wp14:anchorId="5DDC1454" wp14:editId="52773F24">
            <wp:extent cx="2952750" cy="2371725"/>
            <wp:effectExtent l="0" t="0" r="0" b="0"/>
            <wp:docPr id="1" name="Wykres 1" descr="Wykres prezentujący jakiej płci byli pracownicy zajmujący utworzone stanowiska.">
              <a:extLst xmlns:a="http://schemas.openxmlformats.org/drawingml/2006/main">
                <a:ext uri="{FF2B5EF4-FFF2-40B4-BE49-F238E27FC236}">
                  <a16:creationId xmlns:a16="http://schemas.microsoft.com/office/drawing/2014/main" id="{60AD8552-2BB4-4D8C-91CD-70EF56991B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A62820">
        <w:rPr>
          <w:noProof/>
          <w:lang w:eastAsia="pl-PL"/>
        </w:rPr>
        <w:t xml:space="preserve"> </w:t>
      </w:r>
      <w:r>
        <w:rPr>
          <w:noProof/>
          <w:lang w:eastAsia="pl-PL"/>
        </w:rPr>
        <w:drawing>
          <wp:inline distT="0" distB="0" distL="0" distR="0" wp14:anchorId="12AE884B" wp14:editId="32D295EF">
            <wp:extent cx="2762250" cy="2343150"/>
            <wp:effectExtent l="0" t="0" r="0" b="0"/>
            <wp:docPr id="8" name="Wykres 8" descr="Wykres prezentujący w jakim wieku byli pracownicy zajmujący utworzone stanowiska.">
              <a:extLst xmlns:a="http://schemas.openxmlformats.org/drawingml/2006/main">
                <a:ext uri="{FF2B5EF4-FFF2-40B4-BE49-F238E27FC236}">
                  <a16:creationId xmlns:a16="http://schemas.microsoft.com/office/drawing/2014/main" id="{AD6F07C9-2B61-487C-BF5D-7E8DA5817F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27B3204" w14:textId="36C1E892" w:rsidR="00A62820" w:rsidRDefault="00A62820" w:rsidP="00B018C1">
      <w:r>
        <w:rPr>
          <w:noProof/>
          <w:lang w:eastAsia="pl-PL"/>
        </w:rPr>
        <w:drawing>
          <wp:inline distT="0" distB="0" distL="0" distR="0" wp14:anchorId="09BF941E" wp14:editId="0ED5A907">
            <wp:extent cx="2800350" cy="2547620"/>
            <wp:effectExtent l="0" t="0" r="0" b="5080"/>
            <wp:docPr id="9" name="Wykres 9" descr="Wykres prezentujący jaki status na rynku, posiadali pracownicy zajmujący utworzone stanowiska.">
              <a:extLst xmlns:a="http://schemas.openxmlformats.org/drawingml/2006/main">
                <a:ext uri="{FF2B5EF4-FFF2-40B4-BE49-F238E27FC236}">
                  <a16:creationId xmlns:a16="http://schemas.microsoft.com/office/drawing/2014/main" id="{5D9487D6-77F5-4D37-914B-FBDA4C4F5C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A62820">
        <w:rPr>
          <w:noProof/>
          <w:lang w:eastAsia="pl-PL"/>
        </w:rPr>
        <w:t xml:space="preserve"> </w:t>
      </w:r>
      <w:r>
        <w:rPr>
          <w:noProof/>
          <w:lang w:eastAsia="pl-PL"/>
        </w:rPr>
        <w:drawing>
          <wp:inline distT="0" distB="0" distL="0" distR="0" wp14:anchorId="415B2029" wp14:editId="5FB98DAA">
            <wp:extent cx="2867025" cy="2552700"/>
            <wp:effectExtent l="0" t="0" r="0" b="0"/>
            <wp:docPr id="11" name="Wykres 11"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7936AF8B-9504-478C-99BA-FD99790C7B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FC4E4C2" w14:textId="74A9B5C1" w:rsidR="00B018C1" w:rsidRDefault="00A62820" w:rsidP="00B018C1">
      <w:r>
        <w:rPr>
          <w:noProof/>
          <w:lang w:eastAsia="pl-PL"/>
        </w:rPr>
        <w:lastRenderedPageBreak/>
        <w:drawing>
          <wp:inline distT="0" distB="0" distL="0" distR="0" wp14:anchorId="2DAE9258" wp14:editId="4E9F0011">
            <wp:extent cx="5705475" cy="2395220"/>
            <wp:effectExtent l="0" t="0" r="0" b="5080"/>
            <wp:docPr id="14" name="Wykres 14" descr="Wykres prezentujący jakie wykształcenie posiadali pracownicy zajmujący utworzone stanowiska.">
              <a:extLst xmlns:a="http://schemas.openxmlformats.org/drawingml/2006/main">
                <a:ext uri="{FF2B5EF4-FFF2-40B4-BE49-F238E27FC236}">
                  <a16:creationId xmlns:a16="http://schemas.microsoft.com/office/drawing/2014/main" id="{5FBFC2D8-2131-42BD-95C4-F3FD2A1CAD1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B573B0F" w14:textId="62E1EDC8" w:rsidR="00A62820" w:rsidRDefault="00C86F8D" w:rsidP="00A62820">
      <w:pPr>
        <w:pStyle w:val="Legenda"/>
      </w:pPr>
      <w:r w:rsidRPr="00887578">
        <w:t xml:space="preserve"> </w:t>
      </w:r>
      <w:r w:rsidR="00A62820">
        <w:t>Opracowanie własne na podstawie badania CATI/CAWI wśród przedsiębiorstw społecznych przeprowadzonego w ramach II pomiaru. N=3</w:t>
      </w:r>
    </w:p>
    <w:p w14:paraId="6F88EADF" w14:textId="1406F11A" w:rsidR="00B018C1" w:rsidRDefault="00B018C1" w:rsidP="00B018C1">
      <w:r>
        <w:t xml:space="preserve">Analizując strukturę demograficzną osób zatrudnionych na utworzonych miejscach pracy zauważyć można relatywnie duże zróżnicowanie. W przypadku interwencji realizowanej w ramach RPO Województwa </w:t>
      </w:r>
      <w:r w:rsidR="00C86F8D">
        <w:t xml:space="preserve">Opolskiego </w:t>
      </w:r>
      <w:r>
        <w:t>można zauważyć, że najczęściej występującym problemem, który utrudniał znalezienie pracy osobom, które zostały zatrudnione na powstałych w ramach interwencji miejscach pracy</w:t>
      </w:r>
      <w:r w:rsidR="00F51FA7">
        <w:t xml:space="preserve"> </w:t>
      </w:r>
      <w:r w:rsidR="001D49AA">
        <w:t xml:space="preserve">był wiek po 50 roku życia </w:t>
      </w:r>
      <w:r w:rsidR="00F51FA7">
        <w:t>(</w:t>
      </w:r>
      <w:r w:rsidR="001D49AA">
        <w:t>67</w:t>
      </w:r>
      <w:r w:rsidR="00F51FA7">
        <w:t>%).</w:t>
      </w:r>
      <w:r>
        <w:t xml:space="preserve"> Inne problemy, które stanowią bariery na rynku pracy występowały </w:t>
      </w:r>
      <w:r w:rsidR="001D49AA">
        <w:t>rzadziej</w:t>
      </w:r>
      <w:r>
        <w:t xml:space="preserve">. Interwencja w postaci wsparcia na rzecz tworzenia nowych miejsc pracy w przedsiębiorstwach społecznych stanowi zatem istotne narzędzie aktywizacji zawodowej. </w:t>
      </w:r>
    </w:p>
    <w:p w14:paraId="22ECD894" w14:textId="2D91954F" w:rsidR="00A62820" w:rsidRDefault="00C86F8D" w:rsidP="00C86F8D">
      <w:pPr>
        <w:pStyle w:val="Legenda"/>
      </w:pPr>
      <w:r w:rsidRPr="00887578">
        <w:t xml:space="preserve"> </w:t>
      </w:r>
    </w:p>
    <w:p w14:paraId="342C8D48" w14:textId="401EA93B" w:rsidR="00C86F8D" w:rsidRDefault="00A62820" w:rsidP="00C86F8D">
      <w:pPr>
        <w:pStyle w:val="Legenda"/>
      </w:pPr>
      <w:r>
        <w:rPr>
          <w:noProof/>
          <w:lang w:eastAsia="pl-PL"/>
        </w:rPr>
        <w:drawing>
          <wp:inline distT="0" distB="0" distL="0" distR="0" wp14:anchorId="734F0B68" wp14:editId="08CD3613">
            <wp:extent cx="5819775" cy="2895600"/>
            <wp:effectExtent l="0" t="0" r="0" b="0"/>
            <wp:docPr id="15" name="Wykres 15"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97CFEE68-E678-4D57-9882-30EFDC504C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t>Opracowanie własne na podstawie badania CATI/CAWI wśród przedsiębiorstw społecznych przeprowadzonego w ramach II pomiaru. N=3</w:t>
      </w:r>
    </w:p>
    <w:p w14:paraId="6B83AECD" w14:textId="77777777" w:rsidR="00371935" w:rsidRDefault="00371935" w:rsidP="00371935"/>
    <w:p w14:paraId="35D5E96E" w14:textId="77777777" w:rsidR="00371935" w:rsidRDefault="00371935" w:rsidP="00371935">
      <w:pPr>
        <w:pStyle w:val="Nagwek2"/>
        <w:rPr>
          <w:b/>
          <w:bCs/>
          <w:color w:val="auto"/>
        </w:rPr>
      </w:pPr>
      <w:bookmarkStart w:id="3" w:name="_Hlk93924604"/>
      <w:r w:rsidRPr="003E065D">
        <w:rPr>
          <w:b/>
          <w:bCs/>
          <w:color w:val="auto"/>
        </w:rPr>
        <w:t xml:space="preserve">Wnioski </w:t>
      </w:r>
    </w:p>
    <w:p w14:paraId="6A68FDA5" w14:textId="793C3DF6" w:rsidR="00371935" w:rsidRDefault="00371935" w:rsidP="00371935">
      <w:r>
        <w:t xml:space="preserve">W przypadku RPO Województwa Opolskiego na lata 2014-2020 </w:t>
      </w:r>
      <w:r w:rsidR="001D49AA">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zidentyfikowano przeżywalność miejsc pracy na poziomie 100%. W stosunku do zakładanych 60% jest to wartość znacznie większa, co wskazuje na to, że podejmowane działania skutecznie przyczyniają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opolskiego stanowiło przede wszystkim narzędzie aktywizacji zawodowej – najczęściej występującym problemem, który stanowił barierę dla osób zatrudnianych na utwor</w:t>
      </w:r>
      <w:r w:rsidR="001D49AA">
        <w:t>zonych miejscach pracy był wiek po 50 roku życia</w:t>
      </w:r>
      <w:r>
        <w:t xml:space="preserve">. </w:t>
      </w:r>
    </w:p>
    <w:bookmarkEnd w:id="3"/>
    <w:p w14:paraId="07FB7CEA" w14:textId="77777777" w:rsidR="00371935" w:rsidRDefault="00371935"/>
    <w:sectPr w:rsidR="00371935">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4383" w14:textId="77777777" w:rsidR="005B1E08" w:rsidRDefault="005B1E08" w:rsidP="00991A09">
      <w:pPr>
        <w:spacing w:after="0" w:line="240" w:lineRule="auto"/>
      </w:pPr>
      <w:r>
        <w:separator/>
      </w:r>
    </w:p>
  </w:endnote>
  <w:endnote w:type="continuationSeparator" w:id="0">
    <w:p w14:paraId="0F30F1C3" w14:textId="77777777" w:rsidR="005B1E08" w:rsidRDefault="005B1E08" w:rsidP="00991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063542"/>
      <w:docPartObj>
        <w:docPartGallery w:val="Page Numbers (Bottom of Page)"/>
        <w:docPartUnique/>
      </w:docPartObj>
    </w:sdtPr>
    <w:sdtEndPr/>
    <w:sdtContent>
      <w:p w14:paraId="0C1FDAE7" w14:textId="2E60C139" w:rsidR="00C86F8D" w:rsidRDefault="00C86F8D">
        <w:pPr>
          <w:pStyle w:val="Stopka"/>
          <w:jc w:val="center"/>
        </w:pPr>
        <w:r>
          <w:fldChar w:fldCharType="begin"/>
        </w:r>
        <w:r>
          <w:instrText>PAGE   \* MERGEFORMAT</w:instrText>
        </w:r>
        <w:r>
          <w:fldChar w:fldCharType="separate"/>
        </w:r>
        <w:r w:rsidR="001D49AA">
          <w:rPr>
            <w:noProof/>
          </w:rPr>
          <w:t>1</w:t>
        </w:r>
        <w:r>
          <w:fldChar w:fldCharType="end"/>
        </w:r>
      </w:p>
    </w:sdtContent>
  </w:sdt>
  <w:p w14:paraId="5853FBE3" w14:textId="77777777" w:rsidR="00C86F8D" w:rsidRDefault="00C86F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50F9D" w14:textId="77777777" w:rsidR="005B1E08" w:rsidRDefault="005B1E08" w:rsidP="00991A09">
      <w:pPr>
        <w:spacing w:after="0" w:line="240" w:lineRule="auto"/>
      </w:pPr>
      <w:r>
        <w:separator/>
      </w:r>
    </w:p>
  </w:footnote>
  <w:footnote w:type="continuationSeparator" w:id="0">
    <w:p w14:paraId="188C9E56" w14:textId="77777777" w:rsidR="005B1E08" w:rsidRDefault="005B1E08" w:rsidP="00991A09">
      <w:pPr>
        <w:spacing w:after="0" w:line="240" w:lineRule="auto"/>
      </w:pPr>
      <w:r>
        <w:continuationSeparator/>
      </w:r>
    </w:p>
  </w:footnote>
  <w:footnote w:id="1">
    <w:p w14:paraId="5DF60310" w14:textId="77777777" w:rsidR="00991A09" w:rsidRDefault="00991A09" w:rsidP="00991A09">
      <w:pPr>
        <w:pStyle w:val="Tekstprzypisudolnego"/>
      </w:pPr>
      <w:r>
        <w:rPr>
          <w:rStyle w:val="Odwoanieprzypisudolnego"/>
        </w:rPr>
        <w:footnoteRef/>
      </w:r>
      <w:r>
        <w:t xml:space="preserve"> Wartość została pierwotnie zwiększona z 132 do 272, jednak w styczniu 2021 KE zatwierdziła zmiany RPO WO 2014-2020, w tym zmniejszenie wartości docelowej do 225.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8CC" w14:textId="4BB4DCAC" w:rsidR="000150EF" w:rsidRDefault="00A10EDF">
    <w:pPr>
      <w:pStyle w:val="Nagwek"/>
    </w:pPr>
    <w:r>
      <w:rPr>
        <w:noProof/>
      </w:rPr>
      <w:drawing>
        <wp:inline distT="0" distB="0" distL="0" distR="0" wp14:anchorId="74828820" wp14:editId="3766E95F">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94674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A09"/>
    <w:rsid w:val="00005037"/>
    <w:rsid w:val="000150EF"/>
    <w:rsid w:val="000A1F40"/>
    <w:rsid w:val="00133206"/>
    <w:rsid w:val="001D49AA"/>
    <w:rsid w:val="002765D6"/>
    <w:rsid w:val="00296463"/>
    <w:rsid w:val="002D5EE0"/>
    <w:rsid w:val="00313788"/>
    <w:rsid w:val="00322D6E"/>
    <w:rsid w:val="003518B4"/>
    <w:rsid w:val="00371935"/>
    <w:rsid w:val="0044432D"/>
    <w:rsid w:val="00490E64"/>
    <w:rsid w:val="00491F63"/>
    <w:rsid w:val="005108B4"/>
    <w:rsid w:val="0057798E"/>
    <w:rsid w:val="005B1E08"/>
    <w:rsid w:val="005E5902"/>
    <w:rsid w:val="006546BC"/>
    <w:rsid w:val="007559D9"/>
    <w:rsid w:val="00792279"/>
    <w:rsid w:val="007A4AB4"/>
    <w:rsid w:val="007C219A"/>
    <w:rsid w:val="00845966"/>
    <w:rsid w:val="009660DB"/>
    <w:rsid w:val="00991A09"/>
    <w:rsid w:val="009A569A"/>
    <w:rsid w:val="009D4CCB"/>
    <w:rsid w:val="00A10EDF"/>
    <w:rsid w:val="00A62820"/>
    <w:rsid w:val="00AD6FBF"/>
    <w:rsid w:val="00AE6091"/>
    <w:rsid w:val="00AF4462"/>
    <w:rsid w:val="00B018C1"/>
    <w:rsid w:val="00C06097"/>
    <w:rsid w:val="00C24489"/>
    <w:rsid w:val="00C55292"/>
    <w:rsid w:val="00C86F8D"/>
    <w:rsid w:val="00CB285F"/>
    <w:rsid w:val="00CB6132"/>
    <w:rsid w:val="00D340A7"/>
    <w:rsid w:val="00D4796C"/>
    <w:rsid w:val="00D77D0D"/>
    <w:rsid w:val="00E95263"/>
    <w:rsid w:val="00E96CEB"/>
    <w:rsid w:val="00EC1EB1"/>
    <w:rsid w:val="00F17838"/>
    <w:rsid w:val="00F21437"/>
    <w:rsid w:val="00F33F22"/>
    <w:rsid w:val="00F37796"/>
    <w:rsid w:val="00F51FA7"/>
    <w:rsid w:val="00FE01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7E52B"/>
  <w15:chartTrackingRefBased/>
  <w15:docId w15:val="{938A1840-2DC6-4D26-ABE6-4CA6EB2E5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A09"/>
    <w:pPr>
      <w:spacing w:line="276" w:lineRule="auto"/>
    </w:pPr>
    <w:rPr>
      <w:rFonts w:eastAsiaTheme="minorEastAsia"/>
      <w:sz w:val="24"/>
    </w:rPr>
  </w:style>
  <w:style w:type="paragraph" w:styleId="Nagwek1">
    <w:name w:val="heading 1"/>
    <w:basedOn w:val="Normalny"/>
    <w:next w:val="Normalny"/>
    <w:link w:val="Nagwek1Znak"/>
    <w:uiPriority w:val="9"/>
    <w:qFormat/>
    <w:rsid w:val="00991A09"/>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B018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991A09"/>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91A09"/>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991A09"/>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991A09"/>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99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91A09"/>
    <w:rPr>
      <w:sz w:val="16"/>
      <w:szCs w:val="16"/>
    </w:rPr>
  </w:style>
  <w:style w:type="paragraph" w:styleId="Tekstkomentarza">
    <w:name w:val="annotation text"/>
    <w:basedOn w:val="Normalny"/>
    <w:link w:val="TekstkomentarzaZnak"/>
    <w:uiPriority w:val="99"/>
    <w:unhideWhenUsed/>
    <w:rsid w:val="00991A09"/>
    <w:pPr>
      <w:spacing w:line="240" w:lineRule="auto"/>
    </w:pPr>
    <w:rPr>
      <w:sz w:val="20"/>
      <w:szCs w:val="20"/>
    </w:rPr>
  </w:style>
  <w:style w:type="character" w:customStyle="1" w:styleId="TekstkomentarzaZnak">
    <w:name w:val="Tekst komentarza Znak"/>
    <w:basedOn w:val="Domylnaczcionkaakapitu"/>
    <w:link w:val="Tekstkomentarza"/>
    <w:uiPriority w:val="99"/>
    <w:rsid w:val="00991A09"/>
    <w:rPr>
      <w:rFonts w:eastAsiaTheme="minorEastAsia"/>
      <w:sz w:val="20"/>
      <w:szCs w:val="20"/>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Podrozdział,ft,f"/>
    <w:basedOn w:val="Normalny"/>
    <w:link w:val="TekstprzypisudolnegoZnak"/>
    <w:uiPriority w:val="99"/>
    <w:unhideWhenUsed/>
    <w:rsid w:val="00991A09"/>
    <w:pPr>
      <w:spacing w:after="0" w:line="240" w:lineRule="auto"/>
    </w:pPr>
    <w:rPr>
      <w:sz w:val="20"/>
      <w:szCs w:val="20"/>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uiPriority w:val="99"/>
    <w:rsid w:val="00991A09"/>
    <w:rPr>
      <w:rFonts w:eastAsiaTheme="minorEastAsia"/>
      <w:sz w:val="20"/>
      <w:szCs w:val="20"/>
    </w:rPr>
  </w:style>
  <w:style w:type="character" w:styleId="Odwoanieprzypisudolnego">
    <w:name w:val="footnote reference"/>
    <w:aliases w:val="Footnote Reference Number,Footnote symbol,Footnote Reference Superscript,Odwołanie przypisu,Znak Znak11,ftref,BVI fnr,EN Footnote Reference,Times 10 Point,Exposant 3 Point,Footnote reference number,note TESI,stylish,SUPERS,Ref"/>
    <w:basedOn w:val="Domylnaczcionkaakapitu"/>
    <w:uiPriority w:val="99"/>
    <w:unhideWhenUsed/>
    <w:rsid w:val="00991A09"/>
    <w:rPr>
      <w:vertAlign w:val="superscript"/>
    </w:rPr>
  </w:style>
  <w:style w:type="paragraph" w:styleId="Tekstdymka">
    <w:name w:val="Balloon Text"/>
    <w:basedOn w:val="Normalny"/>
    <w:link w:val="TekstdymkaZnak"/>
    <w:uiPriority w:val="99"/>
    <w:semiHidden/>
    <w:unhideWhenUsed/>
    <w:rsid w:val="00B018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18C1"/>
    <w:rPr>
      <w:rFonts w:ascii="Segoe UI" w:eastAsiaTheme="minorEastAsia" w:hAnsi="Segoe UI" w:cs="Segoe UI"/>
      <w:sz w:val="18"/>
      <w:szCs w:val="18"/>
    </w:rPr>
  </w:style>
  <w:style w:type="character" w:customStyle="1" w:styleId="Nagwek2Znak">
    <w:name w:val="Nagłówek 2 Znak"/>
    <w:basedOn w:val="Domylnaczcionkaakapitu"/>
    <w:link w:val="Nagwek2"/>
    <w:uiPriority w:val="9"/>
    <w:rsid w:val="00B018C1"/>
    <w:rPr>
      <w:rFonts w:asciiTheme="majorHAnsi" w:eastAsiaTheme="majorEastAsia" w:hAnsiTheme="majorHAnsi" w:cstheme="majorBidi"/>
      <w:color w:val="2F5496" w:themeColor="accent1" w:themeShade="BF"/>
      <w:sz w:val="26"/>
      <w:szCs w:val="26"/>
    </w:rPr>
  </w:style>
  <w:style w:type="paragraph" w:styleId="Tematkomentarza">
    <w:name w:val="annotation subject"/>
    <w:basedOn w:val="Tekstkomentarza"/>
    <w:next w:val="Tekstkomentarza"/>
    <w:link w:val="TematkomentarzaZnak"/>
    <w:uiPriority w:val="99"/>
    <w:semiHidden/>
    <w:unhideWhenUsed/>
    <w:rsid w:val="007C219A"/>
    <w:rPr>
      <w:b/>
      <w:bCs/>
    </w:rPr>
  </w:style>
  <w:style w:type="character" w:customStyle="1" w:styleId="TematkomentarzaZnak">
    <w:name w:val="Temat komentarza Znak"/>
    <w:basedOn w:val="TekstkomentarzaZnak"/>
    <w:link w:val="Tematkomentarza"/>
    <w:uiPriority w:val="99"/>
    <w:semiHidden/>
    <w:rsid w:val="007C219A"/>
    <w:rPr>
      <w:rFonts w:eastAsiaTheme="minorEastAsia"/>
      <w:b/>
      <w:bCs/>
      <w:sz w:val="20"/>
      <w:szCs w:val="20"/>
    </w:rPr>
  </w:style>
  <w:style w:type="paragraph" w:styleId="Nagwek">
    <w:name w:val="header"/>
    <w:basedOn w:val="Normalny"/>
    <w:link w:val="NagwekZnak"/>
    <w:uiPriority w:val="99"/>
    <w:unhideWhenUsed/>
    <w:rsid w:val="00C86F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6F8D"/>
    <w:rPr>
      <w:rFonts w:eastAsiaTheme="minorEastAsia"/>
      <w:sz w:val="24"/>
    </w:rPr>
  </w:style>
  <w:style w:type="paragraph" w:styleId="Stopka">
    <w:name w:val="footer"/>
    <w:basedOn w:val="Normalny"/>
    <w:link w:val="StopkaZnak"/>
    <w:uiPriority w:val="99"/>
    <w:unhideWhenUsed/>
    <w:rsid w:val="00C86F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6F8D"/>
    <w:rPr>
      <w:rFonts w:eastAsiaTheme="minorEastAsia"/>
      <w:sz w:val="24"/>
    </w:rPr>
  </w:style>
  <w:style w:type="paragraph" w:styleId="Poprawka">
    <w:name w:val="Revision"/>
    <w:hidden/>
    <w:uiPriority w:val="99"/>
    <w:semiHidden/>
    <w:rsid w:val="00313788"/>
    <w:pPr>
      <w:spacing w:after="0" w:line="240" w:lineRule="auto"/>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opolskie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WARTOSCI'!$A$28:$A$29</c:f>
              <c:strCache>
                <c:ptCount val="2"/>
                <c:pt idx="0">
                  <c:v>Byczyński Ośrodek Wsparcia Ekonomii Społecznej dla subregionu północnego</c:v>
                </c:pt>
                <c:pt idx="1">
                  <c:v>Subregion Południowy</c:v>
                </c:pt>
              </c:strCache>
            </c:strRef>
          </c:cat>
          <c:val>
            <c:numRef>
              <c:f>'WG OWES WARTOSCI'!$D$28:$D$29</c:f>
              <c:numCache>
                <c:formatCode>0%</c:formatCode>
                <c:ptCount val="2"/>
                <c:pt idx="0">
                  <c:v>1</c:v>
                </c:pt>
                <c:pt idx="1">
                  <c:v>1</c:v>
                </c:pt>
              </c:numCache>
            </c:numRef>
          </c:val>
          <c:extLst>
            <c:ext xmlns:c16="http://schemas.microsoft.com/office/drawing/2014/chart" uri="{C3380CC4-5D6E-409C-BE32-E72D297353CC}">
              <c16:uniqueId val="{00000000-2BAF-4FFB-A46A-CD0231A591BB}"/>
            </c:ext>
          </c:extLst>
        </c:ser>
        <c:dLbls>
          <c:showLegendKey val="0"/>
          <c:showVal val="1"/>
          <c:showCatName val="0"/>
          <c:showSerName val="0"/>
          <c:showPercent val="0"/>
          <c:showBubbleSize val="0"/>
        </c:dLbls>
        <c:gapWidth val="150"/>
        <c:overlap val="-25"/>
        <c:axId val="534871872"/>
        <c:axId val="534876184"/>
      </c:barChart>
      <c:catAx>
        <c:axId val="534871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4876184"/>
        <c:crosses val="autoZero"/>
        <c:auto val="1"/>
        <c:lblAlgn val="ctr"/>
        <c:lblOffset val="100"/>
        <c:noMultiLvlLbl val="0"/>
      </c:catAx>
      <c:valAx>
        <c:axId val="534876184"/>
        <c:scaling>
          <c:orientation val="minMax"/>
        </c:scaling>
        <c:delete val="1"/>
        <c:axPos val="l"/>
        <c:numFmt formatCode="0%" sourceLinked="1"/>
        <c:majorTickMark val="none"/>
        <c:minorTickMark val="none"/>
        <c:tickLblPos val="nextTo"/>
        <c:crossAx val="5348718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opolskie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owes!$A$35</c:f>
              <c:strCache>
                <c:ptCount val="1"/>
                <c:pt idx="0">
                  <c:v>Przedsiębiorczość społeczna z Subregionem Środkowym</c:v>
                </c:pt>
              </c:strCache>
            </c:strRef>
          </c:cat>
          <c:val>
            <c:numRef>
              <c:f>owes!$D$35</c:f>
              <c:numCache>
                <c:formatCode>0%</c:formatCode>
                <c:ptCount val="1"/>
                <c:pt idx="0">
                  <c:v>1</c:v>
                </c:pt>
              </c:numCache>
            </c:numRef>
          </c:val>
          <c:extLst>
            <c:ext xmlns:c16="http://schemas.microsoft.com/office/drawing/2014/chart" uri="{C3380CC4-5D6E-409C-BE32-E72D297353CC}">
              <c16:uniqueId val="{00000000-C3FB-41C1-BA60-085B9BDF79DB}"/>
            </c:ext>
          </c:extLst>
        </c:ser>
        <c:dLbls>
          <c:showLegendKey val="0"/>
          <c:showVal val="1"/>
          <c:showCatName val="0"/>
          <c:showSerName val="0"/>
          <c:showPercent val="0"/>
          <c:showBubbleSize val="0"/>
        </c:dLbls>
        <c:gapWidth val="150"/>
        <c:overlap val="-25"/>
        <c:axId val="534869520"/>
        <c:axId val="534869128"/>
      </c:barChart>
      <c:catAx>
        <c:axId val="534869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4869128"/>
        <c:crosses val="autoZero"/>
        <c:auto val="1"/>
        <c:lblAlgn val="ctr"/>
        <c:lblOffset val="100"/>
        <c:noMultiLvlLbl val="0"/>
      </c:catAx>
      <c:valAx>
        <c:axId val="534869128"/>
        <c:scaling>
          <c:orientation val="minMax"/>
        </c:scaling>
        <c:delete val="1"/>
        <c:axPos val="l"/>
        <c:numFmt formatCode="0%" sourceLinked="1"/>
        <c:majorTickMark val="none"/>
        <c:minorTickMark val="none"/>
        <c:tickLblPos val="nextTo"/>
        <c:crossAx val="5348695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opolskie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branze!$J$23</c:f>
              <c:strCache>
                <c:ptCount val="1"/>
                <c:pt idx="0">
                  <c:v>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branze!$J$24:$J$40</c:f>
              <c:numCache>
                <c:formatCode>0%</c:formatCode>
                <c:ptCount val="17"/>
                <c:pt idx="0">
                  <c:v>0.33333333333333331</c:v>
                </c:pt>
                <c:pt idx="1">
                  <c:v>0.33333333333333331</c:v>
                </c:pt>
                <c:pt idx="2">
                  <c:v>0.33333333333333331</c:v>
                </c:pt>
                <c:pt idx="3">
                  <c:v>0</c:v>
                </c:pt>
                <c:pt idx="4">
                  <c:v>0</c:v>
                </c:pt>
                <c:pt idx="5">
                  <c:v>0</c:v>
                </c:pt>
                <c:pt idx="6">
                  <c:v>0</c:v>
                </c:pt>
                <c:pt idx="7">
                  <c:v>0</c:v>
                </c:pt>
                <c:pt idx="8">
                  <c:v>0</c:v>
                </c:pt>
                <c:pt idx="9">
                  <c:v>0</c:v>
                </c:pt>
                <c:pt idx="10">
                  <c:v>0.33333333333333331</c:v>
                </c:pt>
                <c:pt idx="11">
                  <c:v>0</c:v>
                </c:pt>
                <c:pt idx="12">
                  <c:v>0</c:v>
                </c:pt>
                <c:pt idx="13">
                  <c:v>0</c:v>
                </c:pt>
                <c:pt idx="14">
                  <c:v>0</c:v>
                </c:pt>
                <c:pt idx="15">
                  <c:v>0.33333333333333331</c:v>
                </c:pt>
                <c:pt idx="16">
                  <c:v>0</c:v>
                </c:pt>
              </c:numCache>
            </c:numRef>
          </c:val>
          <c:extLst>
            <c:ext xmlns:c16="http://schemas.microsoft.com/office/drawing/2014/chart" uri="{C3380CC4-5D6E-409C-BE32-E72D297353CC}">
              <c16:uniqueId val="{00000000-8945-46DA-B546-7EABF7728D06}"/>
            </c:ext>
          </c:extLst>
        </c:ser>
        <c:dLbls>
          <c:showLegendKey val="0"/>
          <c:showVal val="1"/>
          <c:showCatName val="0"/>
          <c:showSerName val="0"/>
          <c:showPercent val="0"/>
          <c:showBubbleSize val="0"/>
        </c:dLbls>
        <c:gapWidth val="150"/>
        <c:overlap val="-25"/>
        <c:axId val="534873048"/>
        <c:axId val="534870304"/>
      </c:barChart>
      <c:catAx>
        <c:axId val="534873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4870304"/>
        <c:crosses val="autoZero"/>
        <c:auto val="1"/>
        <c:lblAlgn val="ctr"/>
        <c:lblOffset val="100"/>
        <c:noMultiLvlLbl val="0"/>
      </c:catAx>
      <c:valAx>
        <c:axId val="534870304"/>
        <c:scaling>
          <c:orientation val="minMax"/>
        </c:scaling>
        <c:delete val="1"/>
        <c:axPos val="l"/>
        <c:numFmt formatCode="0%" sourceLinked="1"/>
        <c:majorTickMark val="none"/>
        <c:minorTickMark val="none"/>
        <c:tickLblPos val="nextTo"/>
        <c:crossAx val="5348730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płeć!$B$9</c:f>
              <c:strCache>
                <c:ptCount val="1"/>
                <c:pt idx="0">
                  <c:v>opolskie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399-4E76-A8AF-AE3C1B068EC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399-4E76-A8AF-AE3C1B068EC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płeć!$F$9:$G$9</c:f>
              <c:numCache>
                <c:formatCode>0%</c:formatCode>
                <c:ptCount val="2"/>
                <c:pt idx="0">
                  <c:v>1</c:v>
                </c:pt>
                <c:pt idx="1">
                  <c:v>0</c:v>
                </c:pt>
              </c:numCache>
            </c:numRef>
          </c:val>
          <c:extLst>
            <c:ext xmlns:c16="http://schemas.microsoft.com/office/drawing/2014/chart" uri="{C3380CC4-5D6E-409C-BE32-E72D297353CC}">
              <c16:uniqueId val="{00000004-1399-4E76-A8AF-AE3C1B068ECE}"/>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wiek!$B$27</c:f>
              <c:strCache>
                <c:ptCount val="1"/>
                <c:pt idx="0">
                  <c:v>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wiek!$C$27:$H$27</c:f>
              <c:numCache>
                <c:formatCode>0%</c:formatCode>
                <c:ptCount val="6"/>
                <c:pt idx="0">
                  <c:v>0</c:v>
                </c:pt>
                <c:pt idx="1">
                  <c:v>0</c:v>
                </c:pt>
                <c:pt idx="2">
                  <c:v>0.54545454545454541</c:v>
                </c:pt>
                <c:pt idx="3">
                  <c:v>0</c:v>
                </c:pt>
                <c:pt idx="4">
                  <c:v>9.0909090909090912E-2</c:v>
                </c:pt>
                <c:pt idx="5">
                  <c:v>0.36363636363636365</c:v>
                </c:pt>
              </c:numCache>
            </c:numRef>
          </c:val>
          <c:extLst>
            <c:ext xmlns:c16="http://schemas.microsoft.com/office/drawing/2014/chart" uri="{C3380CC4-5D6E-409C-BE32-E72D297353CC}">
              <c16:uniqueId val="{00000000-D647-4D39-84A7-4A5F6871239F}"/>
            </c:ext>
          </c:extLst>
        </c:ser>
        <c:dLbls>
          <c:showLegendKey val="0"/>
          <c:showVal val="1"/>
          <c:showCatName val="0"/>
          <c:showSerName val="0"/>
          <c:showPercent val="0"/>
          <c:showBubbleSize val="0"/>
        </c:dLbls>
        <c:gapWidth val="150"/>
        <c:overlap val="-25"/>
        <c:axId val="380479440"/>
        <c:axId val="380478264"/>
      </c:barChart>
      <c:catAx>
        <c:axId val="380479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0478264"/>
        <c:crosses val="autoZero"/>
        <c:auto val="1"/>
        <c:lblAlgn val="ctr"/>
        <c:lblOffset val="100"/>
        <c:noMultiLvlLbl val="0"/>
      </c:catAx>
      <c:valAx>
        <c:axId val="380478264"/>
        <c:scaling>
          <c:orientation val="minMax"/>
        </c:scaling>
        <c:delete val="1"/>
        <c:axPos val="l"/>
        <c:numFmt formatCode="0%" sourceLinked="1"/>
        <c:majorTickMark val="none"/>
        <c:minorTickMark val="none"/>
        <c:tickLblPos val="nextTo"/>
        <c:crossAx val="3804794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na rynku pracy</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status!$B$30</c:f>
              <c:strCache>
                <c:ptCount val="1"/>
                <c:pt idx="0">
                  <c:v>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status!$C$30:$H$30</c:f>
              <c:numCache>
                <c:formatCode>0%</c:formatCode>
                <c:ptCount val="6"/>
                <c:pt idx="0">
                  <c:v>0</c:v>
                </c:pt>
                <c:pt idx="1">
                  <c:v>0</c:v>
                </c:pt>
                <c:pt idx="2">
                  <c:v>1</c:v>
                </c:pt>
                <c:pt idx="3">
                  <c:v>0</c:v>
                </c:pt>
                <c:pt idx="4">
                  <c:v>0</c:v>
                </c:pt>
                <c:pt idx="5">
                  <c:v>0</c:v>
                </c:pt>
              </c:numCache>
            </c:numRef>
          </c:val>
          <c:extLst>
            <c:ext xmlns:c16="http://schemas.microsoft.com/office/drawing/2014/chart" uri="{C3380CC4-5D6E-409C-BE32-E72D297353CC}">
              <c16:uniqueId val="{00000000-3500-46AA-A58E-AB6901194010}"/>
            </c:ext>
          </c:extLst>
        </c:ser>
        <c:dLbls>
          <c:showLegendKey val="0"/>
          <c:showVal val="1"/>
          <c:showCatName val="0"/>
          <c:showSerName val="0"/>
          <c:showPercent val="0"/>
          <c:showBubbleSize val="0"/>
        </c:dLbls>
        <c:gapWidth val="150"/>
        <c:overlap val="-25"/>
        <c:axId val="380477480"/>
        <c:axId val="380481008"/>
      </c:barChart>
      <c:catAx>
        <c:axId val="38047748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0481008"/>
        <c:crosses val="autoZero"/>
        <c:auto val="1"/>
        <c:lblAlgn val="ctr"/>
        <c:lblOffset val="100"/>
        <c:noMultiLvlLbl val="0"/>
      </c:catAx>
      <c:valAx>
        <c:axId val="380481008"/>
        <c:scaling>
          <c:orientation val="minMax"/>
        </c:scaling>
        <c:delete val="1"/>
        <c:axPos val="t"/>
        <c:numFmt formatCode="0%" sourceLinked="1"/>
        <c:majorTickMark val="none"/>
        <c:minorTickMark val="none"/>
        <c:tickLblPos val="nextTo"/>
        <c:crossAx val="3804774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osoby niepełnosprawnej</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ON!$B$29</c:f>
              <c:strCache>
                <c:ptCount val="1"/>
                <c:pt idx="0">
                  <c:v>opolskie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092-4B24-BC16-66D572AE39A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092-4B24-BC16-66D572AE39A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ON!$C$29:$D$29</c:f>
              <c:numCache>
                <c:formatCode>0%</c:formatCode>
                <c:ptCount val="2"/>
                <c:pt idx="0">
                  <c:v>0</c:v>
                </c:pt>
                <c:pt idx="1">
                  <c:v>1</c:v>
                </c:pt>
              </c:numCache>
            </c:numRef>
          </c:val>
          <c:extLst>
            <c:ext xmlns:c16="http://schemas.microsoft.com/office/drawing/2014/chart" uri="{C3380CC4-5D6E-409C-BE32-E72D297353CC}">
              <c16:uniqueId val="{00000004-9092-4B24-BC16-66D572AE39A7}"/>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wykszt!$B$27</c:f>
              <c:strCache>
                <c:ptCount val="1"/>
                <c:pt idx="0">
                  <c:v>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wykszt!$C$27:$J$27</c:f>
              <c:numCache>
                <c:formatCode>0%</c:formatCode>
                <c:ptCount val="8"/>
                <c:pt idx="0">
                  <c:v>0</c:v>
                </c:pt>
                <c:pt idx="1">
                  <c:v>0</c:v>
                </c:pt>
                <c:pt idx="2">
                  <c:v>0</c:v>
                </c:pt>
                <c:pt idx="3">
                  <c:v>0.45454545454545453</c:v>
                </c:pt>
                <c:pt idx="4">
                  <c:v>0.36363636363636365</c:v>
                </c:pt>
                <c:pt idx="5">
                  <c:v>0</c:v>
                </c:pt>
                <c:pt idx="6">
                  <c:v>0</c:v>
                </c:pt>
                <c:pt idx="7">
                  <c:v>0.18181818181818182</c:v>
                </c:pt>
              </c:numCache>
            </c:numRef>
          </c:val>
          <c:extLst>
            <c:ext xmlns:c16="http://schemas.microsoft.com/office/drawing/2014/chart" uri="{C3380CC4-5D6E-409C-BE32-E72D297353CC}">
              <c16:uniqueId val="{00000000-27E8-4368-B708-90A5C59248B3}"/>
            </c:ext>
          </c:extLst>
        </c:ser>
        <c:dLbls>
          <c:showLegendKey val="0"/>
          <c:showVal val="1"/>
          <c:showCatName val="0"/>
          <c:showSerName val="0"/>
          <c:showPercent val="0"/>
          <c:showBubbleSize val="0"/>
        </c:dLbls>
        <c:gapWidth val="150"/>
        <c:overlap val="-25"/>
        <c:axId val="380482968"/>
        <c:axId val="380481400"/>
      </c:barChart>
      <c:catAx>
        <c:axId val="3804829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0481400"/>
        <c:crosses val="autoZero"/>
        <c:auto val="1"/>
        <c:lblAlgn val="ctr"/>
        <c:lblOffset val="100"/>
        <c:noMultiLvlLbl val="0"/>
      </c:catAx>
      <c:valAx>
        <c:axId val="380481400"/>
        <c:scaling>
          <c:orientation val="minMax"/>
        </c:scaling>
        <c:delete val="1"/>
        <c:axPos val="b"/>
        <c:numFmt formatCode="0%" sourceLinked="1"/>
        <c:majorTickMark val="none"/>
        <c:minorTickMark val="none"/>
        <c:tickLblPos val="nextTo"/>
        <c:crossAx val="3804829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bariery!$B$27</c:f>
              <c:strCache>
                <c:ptCount val="1"/>
                <c:pt idx="0">
                  <c:v>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bariery!$C$27:$N$27</c:f>
              <c:numCache>
                <c:formatCode>0%</c:formatCode>
                <c:ptCount val="12"/>
                <c:pt idx="0">
                  <c:v>0</c:v>
                </c:pt>
                <c:pt idx="1">
                  <c:v>0.33333333333333331</c:v>
                </c:pt>
                <c:pt idx="2">
                  <c:v>0.33333333333333331</c:v>
                </c:pt>
                <c:pt idx="3">
                  <c:v>0.66666666666666663</c:v>
                </c:pt>
                <c:pt idx="4">
                  <c:v>0</c:v>
                </c:pt>
                <c:pt idx="5">
                  <c:v>0.33333333333333331</c:v>
                </c:pt>
                <c:pt idx="6">
                  <c:v>0.33333333333333331</c:v>
                </c:pt>
                <c:pt idx="7">
                  <c:v>0.33333333333333331</c:v>
                </c:pt>
                <c:pt idx="8">
                  <c:v>0</c:v>
                </c:pt>
                <c:pt idx="9">
                  <c:v>0</c:v>
                </c:pt>
                <c:pt idx="10">
                  <c:v>0</c:v>
                </c:pt>
                <c:pt idx="11">
                  <c:v>0</c:v>
                </c:pt>
              </c:numCache>
            </c:numRef>
          </c:val>
          <c:extLst>
            <c:ext xmlns:c16="http://schemas.microsoft.com/office/drawing/2014/chart" uri="{C3380CC4-5D6E-409C-BE32-E72D297353CC}">
              <c16:uniqueId val="{00000000-75A8-4AD4-8E96-71187C23C79A}"/>
            </c:ext>
          </c:extLst>
        </c:ser>
        <c:dLbls>
          <c:showLegendKey val="0"/>
          <c:showVal val="1"/>
          <c:showCatName val="0"/>
          <c:showSerName val="0"/>
          <c:showPercent val="0"/>
          <c:showBubbleSize val="0"/>
        </c:dLbls>
        <c:gapWidth val="150"/>
        <c:overlap val="-25"/>
        <c:axId val="380480616"/>
        <c:axId val="380484144"/>
      </c:barChart>
      <c:catAx>
        <c:axId val="380480616"/>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0484144"/>
        <c:crosses val="autoZero"/>
        <c:auto val="1"/>
        <c:lblAlgn val="ctr"/>
        <c:lblOffset val="100"/>
        <c:noMultiLvlLbl val="0"/>
      </c:catAx>
      <c:valAx>
        <c:axId val="380484144"/>
        <c:scaling>
          <c:orientation val="minMax"/>
        </c:scaling>
        <c:delete val="1"/>
        <c:axPos val="t"/>
        <c:numFmt formatCode="0%" sourceLinked="1"/>
        <c:majorTickMark val="none"/>
        <c:minorTickMark val="none"/>
        <c:tickLblPos val="nextTo"/>
        <c:crossAx val="3804806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61acb3-121d-4d71-bde7-5f2ffce99a80" xsi:nil="true"/>
    <lcf76f155ced4ddcb4097134ff3c332f xmlns="32b2fe3a-7a8c-4032-b4dd-3b68099be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4D2EB0-2F27-4C7B-93E0-BC77C1D9EE9B}">
  <ds:schemaRefs>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elements/1.1/"/>
    <ds:schemaRef ds:uri="http://schemas.openxmlformats.org/package/2006/metadata/core-properties"/>
    <ds:schemaRef ds:uri="http://purl.org/dc/dcmitype/"/>
    <ds:schemaRef ds:uri="af61acb3-121d-4d71-bde7-5f2ffce99a80"/>
    <ds:schemaRef ds:uri="32b2fe3a-7a8c-4032-b4dd-3b68099be7d8"/>
    <ds:schemaRef ds:uri="http://www.w3.org/XML/1998/namespace"/>
  </ds:schemaRefs>
</ds:datastoreItem>
</file>

<file path=customXml/itemProps2.xml><?xml version="1.0" encoding="utf-8"?>
<ds:datastoreItem xmlns:ds="http://schemas.openxmlformats.org/officeDocument/2006/customXml" ds:itemID="{0CAE430A-1129-482D-B43C-52AC8F0FE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646FF-96EF-4868-8450-3B6830B6B0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841</Words>
  <Characters>5048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5</cp:revision>
  <cp:lastPrinted>2023-10-31T14:47:00Z</cp:lastPrinted>
  <dcterms:created xsi:type="dcterms:W3CDTF">2023-10-18T09:24:00Z</dcterms:created>
  <dcterms:modified xsi:type="dcterms:W3CDTF">2023-11-29T09:05:00Z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